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927A4E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927A4E">
        <w:rPr>
          <w:sz w:val="24"/>
          <w:szCs w:val="24"/>
        </w:rPr>
        <w:t>УТВЕРЖДАЮ:</w:t>
      </w:r>
    </w:p>
    <w:p w:rsidR="00C831A4" w:rsidRPr="00927A4E" w:rsidRDefault="00C831A4" w:rsidP="00C831A4">
      <w:pPr>
        <w:ind w:left="10773"/>
        <w:rPr>
          <w:rFonts w:ascii="Times New Roman" w:hAnsi="Times New Roman" w:cs="Times New Roman"/>
        </w:rPr>
      </w:pPr>
      <w:r w:rsidRPr="00927A4E">
        <w:rPr>
          <w:rStyle w:val="7"/>
          <w:rFonts w:eastAsia="Arial Unicode MS"/>
        </w:rPr>
        <w:t>Исполнительный директор ООО «НТК»</w:t>
      </w:r>
    </w:p>
    <w:p w:rsidR="00C831A4" w:rsidRPr="00927A4E" w:rsidRDefault="00C831A4" w:rsidP="00C831A4">
      <w:pPr>
        <w:ind w:left="10773"/>
        <w:rPr>
          <w:rFonts w:ascii="Times New Roman" w:hAnsi="Times New Roman" w:cs="Times New Roman"/>
        </w:rPr>
      </w:pPr>
      <w:proofErr w:type="spellStart"/>
      <w:r w:rsidRPr="00927A4E">
        <w:rPr>
          <w:rStyle w:val="7"/>
          <w:rFonts w:eastAsia="Arial Unicode MS"/>
        </w:rPr>
        <w:t>____________________Туксов</w:t>
      </w:r>
      <w:proofErr w:type="spellEnd"/>
      <w:r w:rsidRPr="00927A4E">
        <w:rPr>
          <w:rStyle w:val="7"/>
          <w:rFonts w:eastAsia="Arial Unicode MS"/>
        </w:rPr>
        <w:t xml:space="preserve"> В.И. «</w:t>
      </w:r>
      <w:r w:rsidR="00D82DCB" w:rsidRPr="00927A4E">
        <w:rPr>
          <w:rStyle w:val="7"/>
          <w:rFonts w:eastAsia="Arial Unicode MS"/>
        </w:rPr>
        <w:t>26</w:t>
      </w:r>
      <w:r w:rsidR="00FB06E2" w:rsidRPr="00927A4E">
        <w:rPr>
          <w:rStyle w:val="7"/>
          <w:rFonts w:eastAsia="Arial Unicode MS"/>
        </w:rPr>
        <w:t xml:space="preserve">» </w:t>
      </w:r>
      <w:r w:rsidR="00D82DCB" w:rsidRPr="00927A4E">
        <w:rPr>
          <w:rStyle w:val="7"/>
          <w:rFonts w:eastAsia="Arial Unicode MS"/>
        </w:rPr>
        <w:t>мая</w:t>
      </w:r>
      <w:r w:rsidR="00FB06E2" w:rsidRPr="00927A4E">
        <w:rPr>
          <w:rStyle w:val="7"/>
          <w:rFonts w:eastAsia="Arial Unicode MS"/>
        </w:rPr>
        <w:t xml:space="preserve"> 201</w:t>
      </w:r>
      <w:r w:rsidR="00D82DCB" w:rsidRPr="00927A4E">
        <w:rPr>
          <w:rStyle w:val="7"/>
          <w:rFonts w:eastAsia="Arial Unicode MS"/>
        </w:rPr>
        <w:t>6</w:t>
      </w:r>
      <w:r w:rsidRPr="00927A4E">
        <w:rPr>
          <w:rStyle w:val="7"/>
          <w:rFonts w:eastAsia="Arial Unicode MS"/>
        </w:rPr>
        <w:t xml:space="preserve"> г.</w:t>
      </w: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927A4E">
        <w:rPr>
          <w:sz w:val="36"/>
          <w:szCs w:val="36"/>
        </w:rPr>
        <w:t xml:space="preserve">ДОКУМЕНТАЦИЯ </w:t>
      </w:r>
    </w:p>
    <w:p w:rsidR="00C831A4" w:rsidRPr="00927A4E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927A4E" w:rsidRDefault="00927A4E" w:rsidP="00C831A4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927A4E">
        <w:rPr>
          <w:sz w:val="28"/>
          <w:szCs w:val="28"/>
        </w:rPr>
        <w:t>о проведении запроса цен с целью закупки автошин для прицепов и автомобилей КАМЗ в 2016 году</w:t>
      </w: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927A4E" w:rsidRDefault="00C831A4" w:rsidP="00C831A4">
      <w:pPr>
        <w:spacing w:line="317" w:lineRule="exact"/>
        <w:jc w:val="center"/>
        <w:rPr>
          <w:rStyle w:val="7"/>
          <w:rFonts w:eastAsia="Arial Unicode MS"/>
        </w:rPr>
      </w:pPr>
      <w:r w:rsidRPr="00927A4E">
        <w:rPr>
          <w:rStyle w:val="7"/>
          <w:rFonts w:eastAsia="Arial Unicode MS"/>
        </w:rPr>
        <w:t xml:space="preserve">г. Новосибирск </w:t>
      </w:r>
    </w:p>
    <w:p w:rsidR="00C831A4" w:rsidRPr="00927A4E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7A4E">
        <w:rPr>
          <w:rStyle w:val="7"/>
          <w:rFonts w:eastAsia="Arial Unicode MS"/>
        </w:rPr>
        <w:t>201</w:t>
      </w:r>
      <w:r w:rsidR="00D82DCB" w:rsidRPr="00927A4E">
        <w:rPr>
          <w:rStyle w:val="7"/>
          <w:rFonts w:eastAsia="Arial Unicode MS"/>
        </w:rPr>
        <w:t>6</w:t>
      </w:r>
      <w:r w:rsidR="00C831A4" w:rsidRPr="00927A4E">
        <w:rPr>
          <w:rStyle w:val="7"/>
          <w:rFonts w:eastAsia="Arial Unicode MS"/>
        </w:rPr>
        <w:t xml:space="preserve"> </w:t>
      </w:r>
    </w:p>
    <w:p w:rsidR="002A7FCA" w:rsidRPr="00927A4E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927A4E" w:rsidRDefault="00927A4E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  <w:lang w:val="en-US"/>
        </w:rPr>
      </w:pPr>
    </w:p>
    <w:p w:rsidR="00927A4E" w:rsidRDefault="00927A4E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  <w:lang w:val="en-US"/>
        </w:rPr>
      </w:pPr>
    </w:p>
    <w:p w:rsidR="00C831A4" w:rsidRPr="00927A4E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927A4E">
        <w:rPr>
          <w:i/>
          <w:sz w:val="32"/>
          <w:szCs w:val="32"/>
        </w:rPr>
        <w:t>Раздел 1</w:t>
      </w:r>
    </w:p>
    <w:p w:rsidR="00927A4E" w:rsidRDefault="00927A4E" w:rsidP="00927A4E">
      <w:pPr>
        <w:pStyle w:val="12"/>
        <w:spacing w:before="0" w:after="120"/>
        <w:jc w:val="center"/>
        <w:rPr>
          <w:sz w:val="20"/>
          <w:szCs w:val="20"/>
          <w:u w:val="single"/>
          <w:lang w:val="en-US"/>
        </w:rPr>
      </w:pPr>
    </w:p>
    <w:p w:rsidR="00B6723E" w:rsidRDefault="00B6723E" w:rsidP="00B6723E">
      <w:pPr>
        <w:pStyle w:val="12"/>
        <w:spacing w:before="0" w:after="120"/>
        <w:jc w:val="center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ИЗВЕЩЕНИЕ</w:t>
      </w:r>
    </w:p>
    <w:p w:rsidR="00B6723E" w:rsidRDefault="00B6723E" w:rsidP="00B6723E">
      <w:pPr>
        <w:pStyle w:val="12"/>
        <w:spacing w:before="0" w:after="120"/>
        <w:jc w:val="center"/>
        <w:rPr>
          <w:b/>
          <w:bCs/>
        </w:rPr>
      </w:pPr>
      <w:r>
        <w:rPr>
          <w:rFonts w:ascii="Calibri" w:hAnsi="Calibri" w:cs="Calibri"/>
          <w:sz w:val="20"/>
          <w:szCs w:val="20"/>
          <w:u w:val="single"/>
        </w:rPr>
        <w:t xml:space="preserve">о проведении запроса цен с целью закупки автошин для автомобилей КАМЗ в 2016 году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6"/>
        <w:gridCol w:w="5390"/>
      </w:tblGrid>
      <w:tr w:rsidR="00B6723E" w:rsidTr="00B6723E">
        <w:tc>
          <w:tcPr>
            <w:tcW w:w="10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bCs/>
              </w:rPr>
              <w:t>Сведения о процедуре закупки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процедуры закупки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Запрос цен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Барабинский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гортоп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НСО, г. Барабинск, пер. Промышленный, 16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адрес: 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632336, НСО, г. Барабинск, пер. Промышленный, 16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Адрес электронной почты: 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  <w:lang w:val="en-US"/>
              </w:rPr>
              <w:t>barabgortop@rambler.ru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proofErr w:type="spellStart"/>
            <w:r>
              <w:rPr>
                <w:rFonts w:ascii="Times New Roman" w:hAnsi="Times New Roman"/>
              </w:rPr>
              <w:t>Функ</w:t>
            </w:r>
            <w:proofErr w:type="spellEnd"/>
            <w:r>
              <w:rPr>
                <w:rFonts w:ascii="Times New Roman" w:hAnsi="Times New Roman"/>
              </w:rPr>
              <w:t xml:space="preserve"> Игорь Иванович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8-383-61-22-452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 размещено на сайте заказчика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  <w:lang w:val="en-US"/>
              </w:rPr>
              <w:t>www.ntknso.ru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договора с указание количества поставляемого товара, объема выполняемых работ, оказываемых услуг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А/шины 11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22.5 </w:t>
            </w:r>
            <w:r>
              <w:rPr>
                <w:rFonts w:ascii="Times New Roman" w:hAnsi="Times New Roman"/>
                <w:lang w:val="en-US"/>
              </w:rPr>
              <w:t>NF</w:t>
            </w:r>
            <w:r>
              <w:rPr>
                <w:rFonts w:ascii="Times New Roman" w:hAnsi="Times New Roman"/>
              </w:rPr>
              <w:t>-701 НКШЗ для автомобилей КАМАЗ в количестве 30 шт.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Выезд на склад поставщика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начальной (максимальной) цене договора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А/шины 11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22.5 </w:t>
            </w:r>
            <w:r>
              <w:rPr>
                <w:rFonts w:ascii="Times New Roman" w:hAnsi="Times New Roman"/>
                <w:lang w:val="en-US"/>
              </w:rPr>
              <w:t>NF</w:t>
            </w:r>
            <w:r>
              <w:rPr>
                <w:rFonts w:ascii="Times New Roman" w:hAnsi="Times New Roman"/>
              </w:rPr>
              <w:t>-701 НКШЗ — 13150 руб. 00 коп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 1 единицу</w:t>
            </w:r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Срок, место и порядок предоставления заявки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Контрагентам, заинтересованным в поставке товара необходимо направить заказчику заявку  в произвольной форме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анкету в срок с 18.08.2016 г. по 26.08.2016 г. включительно. Время подачи заявок: 09:00 — 17:00, перерыв на обед: 12:00 — 13:00, по адресу: 632336, НСО, г. Барабинск, пер. Промышленный, 16 либо по электронной почте: </w:t>
            </w:r>
            <w:proofErr w:type="spellStart"/>
            <w:r>
              <w:rPr>
                <w:rFonts w:ascii="Times New Roman" w:hAnsi="Times New Roman"/>
                <w:lang w:val="en-US"/>
              </w:rPr>
              <w:t>barabgortop@rambler</w:t>
            </w:r>
            <w:proofErr w:type="spellEnd"/>
          </w:p>
        </w:tc>
      </w:tr>
      <w:tr w:rsidR="00B6723E" w:rsidTr="00B6723E"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23E" w:rsidRDefault="00B6723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НСО, г. Барабинск, пер. Промышленный, 16 </w:t>
            </w:r>
          </w:p>
          <w:p w:rsidR="00B6723E" w:rsidRDefault="00B6723E">
            <w:pPr>
              <w:pStyle w:val="aa"/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.08.2016 г. 11:00</w:t>
            </w:r>
          </w:p>
        </w:tc>
      </w:tr>
    </w:tbl>
    <w:p w:rsidR="00B6723E" w:rsidRDefault="00B6723E" w:rsidP="00B6723E">
      <w:pPr>
        <w:pStyle w:val="12"/>
        <w:spacing w:before="0" w:after="120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B6723E" w:rsidRDefault="00B6723E" w:rsidP="00B6723E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Заявки рассматриваются в один день, по итогам рассмотрения составляется протокол определения Победителя. Победителем будет признано лицо, предложившее лучшие условия исполнения договора (более низкая цена, более короткие сроки поставки товара, срок предоставления гарантии).</w:t>
      </w:r>
    </w:p>
    <w:p w:rsidR="00B6723E" w:rsidRDefault="00B6723E" w:rsidP="00B6723E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Подписанный протокол определения Победителя является основанием для заключения с ним договора. Договор подписывается не позднее 3 рабочих дней со дня подписания протокола определения Победителя.</w:t>
      </w:r>
    </w:p>
    <w:p w:rsidR="00B6723E" w:rsidRDefault="00B6723E" w:rsidP="00B6723E">
      <w:pPr>
        <w:pStyle w:val="aa"/>
        <w:jc w:val="both"/>
      </w:pPr>
      <w:r>
        <w:rPr>
          <w:rFonts w:ascii="Times New Roman" w:hAnsi="Times New Roman"/>
        </w:rPr>
        <w:t xml:space="preserve">       Если за время приема заявок от претендентов будет подана только одна заявка, и она соответствует требованиям, предъявляемым Заказчиком, договор будет заключен с единственным участником. </w:t>
      </w:r>
    </w:p>
    <w:p w:rsidR="00C831A4" w:rsidRPr="00927A4E" w:rsidRDefault="00C831A4" w:rsidP="00C831A4">
      <w:pPr>
        <w:rPr>
          <w:rFonts w:ascii="Times New Roman" w:hAnsi="Times New Roman" w:cs="Times New Roman"/>
        </w:rPr>
        <w:sectPr w:rsidR="00C831A4" w:rsidRPr="00927A4E" w:rsidSect="000248E2">
          <w:footerReference w:type="default" r:id="rId7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C831A4" w:rsidRPr="00927A4E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927A4E">
        <w:rPr>
          <w:i/>
          <w:sz w:val="24"/>
          <w:szCs w:val="24"/>
        </w:rPr>
        <w:lastRenderedPageBreak/>
        <w:t>Раздел 2.</w:t>
      </w:r>
      <w:r w:rsidRPr="00927A4E">
        <w:rPr>
          <w:sz w:val="24"/>
          <w:szCs w:val="24"/>
        </w:rPr>
        <w:t xml:space="preserve"> </w:t>
      </w:r>
    </w:p>
    <w:p w:rsidR="00C831A4" w:rsidRPr="00927A4E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927A4E">
        <w:rPr>
          <w:sz w:val="24"/>
          <w:szCs w:val="24"/>
        </w:rPr>
        <w:t xml:space="preserve">Условия проведения </w:t>
      </w:r>
      <w:r w:rsidR="007114A4" w:rsidRPr="00927A4E">
        <w:rPr>
          <w:sz w:val="24"/>
          <w:szCs w:val="24"/>
        </w:rPr>
        <w:t xml:space="preserve">запроса </w:t>
      </w:r>
      <w:r w:rsidRPr="00927A4E">
        <w:rPr>
          <w:sz w:val="24"/>
          <w:szCs w:val="24"/>
        </w:rPr>
        <w:t>предложений</w:t>
      </w:r>
      <w:bookmarkEnd w:id="0"/>
    </w:p>
    <w:p w:rsidR="00C831A4" w:rsidRPr="00927A4E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927A4E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927A4E">
        <w:rPr>
          <w:rStyle w:val="4"/>
          <w:rFonts w:eastAsia="Arial Unicode MS"/>
          <w:b/>
        </w:rPr>
        <w:t>запроса</w:t>
      </w:r>
    </w:p>
    <w:p w:rsidR="00C831A4" w:rsidRPr="00927A4E" w:rsidRDefault="00C831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ab/>
        <w:t xml:space="preserve">При </w:t>
      </w:r>
      <w:r w:rsidR="007114A4" w:rsidRPr="00927A4E">
        <w:rPr>
          <w:sz w:val="24"/>
          <w:szCs w:val="24"/>
        </w:rPr>
        <w:t>проведении процедуры</w:t>
      </w:r>
      <w:r w:rsidRPr="00927A4E">
        <w:rPr>
          <w:sz w:val="24"/>
          <w:szCs w:val="24"/>
        </w:rPr>
        <w:t xml:space="preserve"> устанавливаются следующие обязательные требования к</w:t>
      </w:r>
      <w:r w:rsidR="007114A4" w:rsidRPr="00927A4E">
        <w:rPr>
          <w:sz w:val="24"/>
          <w:szCs w:val="24"/>
        </w:rPr>
        <w:t xml:space="preserve"> ее</w:t>
      </w:r>
      <w:r w:rsidRPr="00927A4E">
        <w:rPr>
          <w:sz w:val="24"/>
          <w:szCs w:val="24"/>
        </w:rPr>
        <w:t xml:space="preserve"> </w:t>
      </w:r>
      <w:r w:rsidR="007114A4" w:rsidRPr="00927A4E">
        <w:rPr>
          <w:sz w:val="24"/>
          <w:szCs w:val="24"/>
        </w:rPr>
        <w:t xml:space="preserve"> потенциальным </w:t>
      </w:r>
      <w:r w:rsidRPr="00927A4E">
        <w:rPr>
          <w:sz w:val="24"/>
          <w:szCs w:val="24"/>
        </w:rPr>
        <w:t>участникам (далее - Участник):</w:t>
      </w:r>
    </w:p>
    <w:p w:rsidR="007114A4" w:rsidRPr="00927A4E" w:rsidRDefault="007114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927A4E">
        <w:rPr>
          <w:rStyle w:val="a4"/>
          <w:b w:val="0"/>
          <w:sz w:val="24"/>
          <w:szCs w:val="24"/>
        </w:rPr>
        <w:t xml:space="preserve">       - применение основной системы налогообложения (с НДС);</w:t>
      </w:r>
    </w:p>
    <w:p w:rsidR="00C831A4" w:rsidRPr="00927A4E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927A4E">
        <w:rPr>
          <w:sz w:val="24"/>
          <w:szCs w:val="24"/>
        </w:rPr>
        <w:t>непроведение</w:t>
      </w:r>
      <w:proofErr w:type="spellEnd"/>
      <w:r w:rsidRPr="00927A4E"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927A4E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927A4E">
        <w:rPr>
          <w:sz w:val="24"/>
          <w:szCs w:val="24"/>
        </w:rPr>
        <w:t>неприостановление</w:t>
      </w:r>
      <w:proofErr w:type="spellEnd"/>
      <w:r w:rsidRPr="00927A4E">
        <w:rPr>
          <w:sz w:val="24"/>
          <w:szCs w:val="24"/>
        </w:rPr>
        <w:t xml:space="preserve"> деятельности участника размещения заказа в порядке, предусмот</w:t>
      </w:r>
      <w:r w:rsidRPr="00927A4E">
        <w:rPr>
          <w:sz w:val="24"/>
          <w:szCs w:val="24"/>
        </w:rPr>
        <w:softHyphen/>
        <w:t>ренном Кодексом РФ об административных правонарушени</w:t>
      </w:r>
      <w:r w:rsidR="007114A4" w:rsidRPr="00927A4E">
        <w:rPr>
          <w:sz w:val="24"/>
          <w:szCs w:val="24"/>
        </w:rPr>
        <w:t>ях, на день рассмотрения заявки.</w:t>
      </w:r>
    </w:p>
    <w:p w:rsidR="00C831A4" w:rsidRPr="00927A4E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927A4E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2927C2" w:rsidRPr="00927A4E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Заявка составляется на бланке организации в произвольной форме (например</w:t>
      </w:r>
      <w:r w:rsidR="002927C2" w:rsidRPr="00927A4E">
        <w:rPr>
          <w:sz w:val="24"/>
          <w:szCs w:val="24"/>
        </w:rPr>
        <w:t>,</w:t>
      </w:r>
      <w:r w:rsidRPr="00927A4E">
        <w:rPr>
          <w:sz w:val="24"/>
          <w:szCs w:val="24"/>
        </w:rPr>
        <w:t xml:space="preserve"> в виде коммерческого предложения) с обязательным приложением прайс-листа. Все документы, представленные участниками, должны быть подписаны руководителями организации и скреплены соответствующей печатью организации. </w:t>
      </w:r>
    </w:p>
    <w:p w:rsidR="00C831A4" w:rsidRPr="00927A4E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Все экземпляры документов должны иметь четкую печать текстов.</w:t>
      </w:r>
    </w:p>
    <w:p w:rsidR="00C831A4" w:rsidRPr="00927A4E" w:rsidRDefault="00C831A4" w:rsidP="00C831A4">
      <w:pPr>
        <w:pStyle w:val="a8"/>
        <w:keepNext/>
        <w:keepLines/>
        <w:numPr>
          <w:ilvl w:val="1"/>
          <w:numId w:val="3"/>
        </w:numPr>
        <w:spacing w:after="83" w:line="230" w:lineRule="exact"/>
        <w:jc w:val="both"/>
        <w:rPr>
          <w:rFonts w:ascii="Times New Roman" w:hAnsi="Times New Roman" w:cs="Times New Roman"/>
          <w:b/>
        </w:rPr>
      </w:pPr>
      <w:bookmarkStart w:id="3" w:name="bookmark25"/>
      <w:r w:rsidRPr="00927A4E">
        <w:rPr>
          <w:rStyle w:val="4"/>
          <w:rFonts w:eastAsia="Arial Unicode MS"/>
          <w:b/>
        </w:rPr>
        <w:tab/>
        <w:t>Требования к яз</w:t>
      </w:r>
      <w:r w:rsidR="002927C2" w:rsidRPr="00927A4E">
        <w:rPr>
          <w:rStyle w:val="4"/>
          <w:rFonts w:eastAsia="Arial Unicode MS"/>
          <w:b/>
        </w:rPr>
        <w:t>ыку заявки на участие в</w:t>
      </w:r>
      <w:r w:rsidRPr="00927A4E">
        <w:rPr>
          <w:rStyle w:val="4"/>
          <w:rFonts w:eastAsia="Arial Unicode MS"/>
          <w:b/>
        </w:rPr>
        <w:t xml:space="preserve"> запросе </w:t>
      </w:r>
      <w:bookmarkEnd w:id="3"/>
      <w:r w:rsidR="002927C2" w:rsidRPr="00927A4E">
        <w:rPr>
          <w:rStyle w:val="4"/>
          <w:rFonts w:eastAsia="Arial Unicode MS"/>
          <w:b/>
        </w:rPr>
        <w:t>предложений</w:t>
      </w:r>
    </w:p>
    <w:p w:rsidR="00C831A4" w:rsidRPr="00927A4E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927A4E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927A4E">
        <w:rPr>
          <w:b/>
          <w:sz w:val="24"/>
          <w:szCs w:val="24"/>
        </w:rPr>
        <w:t>Формирование цены</w:t>
      </w:r>
    </w:p>
    <w:p w:rsidR="00C831A4" w:rsidRPr="00927A4E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927A4E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</w:p>
    <w:p w:rsidR="002927C2" w:rsidRPr="00927A4E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927A4E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927A4E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предоставление гарантии и гарантийное обслуживание;</w:t>
      </w:r>
    </w:p>
    <w:p w:rsidR="002927C2" w:rsidRPr="00927A4E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927A4E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927A4E">
        <w:rPr>
          <w:rStyle w:val="a4"/>
          <w:b w:val="0"/>
          <w:sz w:val="24"/>
          <w:szCs w:val="24"/>
          <w:lang w:val="en-US"/>
        </w:rPr>
        <w:t>c</w:t>
      </w:r>
      <w:r w:rsidRPr="00927A4E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927A4E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сроки передачи товара;</w:t>
      </w:r>
    </w:p>
    <w:p w:rsidR="002927C2" w:rsidRPr="00927A4E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сроки гарантийного ремонта;</w:t>
      </w:r>
    </w:p>
    <w:p w:rsidR="002927C2" w:rsidRPr="00927A4E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самая низкая цена (расчет цены обязателен).</w:t>
      </w:r>
      <w:r w:rsidRPr="00927A4E">
        <w:rPr>
          <w:sz w:val="24"/>
          <w:szCs w:val="24"/>
        </w:rPr>
        <w:tab/>
      </w:r>
    </w:p>
    <w:p w:rsidR="002927C2" w:rsidRPr="00927A4E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927A4E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927A4E">
        <w:rPr>
          <w:b/>
          <w:sz w:val="24"/>
          <w:szCs w:val="24"/>
        </w:rPr>
        <w:t xml:space="preserve">      </w:t>
      </w:r>
      <w:r w:rsidR="002927C2" w:rsidRPr="00927A4E">
        <w:rPr>
          <w:b/>
          <w:sz w:val="24"/>
          <w:szCs w:val="24"/>
        </w:rPr>
        <w:t xml:space="preserve">Порядок определения Победителя: </w:t>
      </w:r>
    </w:p>
    <w:p w:rsidR="00C23265" w:rsidRPr="00927A4E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B12182" w:rsidRPr="00927A4E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27A4E">
        <w:rPr>
          <w:rFonts w:ascii="Times New Roman" w:eastAsia="Times New Roman" w:hAnsi="Times New Roman" w:cs="Times New Roman"/>
        </w:rPr>
        <w:t xml:space="preserve">В случае соответствия Участника предъявляемым требованиям, его заявка (коммерческое предложение) рассматривается по существу. </w:t>
      </w:r>
    </w:p>
    <w:p w:rsidR="002927C2" w:rsidRPr="00927A4E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27A4E">
        <w:rPr>
          <w:rFonts w:ascii="Times New Roman" w:eastAsia="Times New Roman" w:hAnsi="Times New Roman" w:cs="Times New Roman"/>
        </w:rPr>
        <w:t>По каждому критерию оценки, заявка оценивается по пятибалльной шкале, количество баллов, набранных Участником, суммируется по всем критериям, Победителем признается Участник, заявка (коммерческое предложение) которого получило наибольшее количество баллов и ей присвоен первый порядковый номер.</w:t>
      </w:r>
    </w:p>
    <w:p w:rsidR="00B12182" w:rsidRPr="00927A4E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27A4E">
        <w:rPr>
          <w:rFonts w:ascii="Times New Roman" w:eastAsia="Times New Roman" w:hAnsi="Times New Roman" w:cs="Times New Roman"/>
        </w:rPr>
        <w:t>По итогам рассмотрения поданных заявок составляется протокол и подписывается всеми присутствующими на процедуре членами комиссии.</w:t>
      </w:r>
    </w:p>
    <w:p w:rsidR="00B12182" w:rsidRPr="00927A4E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927A4E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927A4E">
        <w:rPr>
          <w:rStyle w:val="4"/>
          <w:rFonts w:eastAsia="Arial Unicode MS"/>
        </w:rPr>
        <w:t xml:space="preserve"> </w:t>
      </w:r>
      <w:r w:rsidRPr="00927A4E">
        <w:rPr>
          <w:rStyle w:val="4"/>
          <w:rFonts w:eastAsia="Arial Unicode MS"/>
        </w:rPr>
        <w:tab/>
      </w:r>
      <w:r w:rsidRPr="00927A4E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927A4E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927A4E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Договоры буду</w:t>
      </w:r>
      <w:r w:rsidR="002927C2" w:rsidRPr="00927A4E">
        <w:rPr>
          <w:sz w:val="24"/>
          <w:szCs w:val="24"/>
        </w:rPr>
        <w:t>т заключаться отдельно по каждому лоту между ра</w:t>
      </w:r>
      <w:proofErr w:type="gramStart"/>
      <w:r w:rsidR="002927C2" w:rsidRPr="00927A4E">
        <w:rPr>
          <w:sz w:val="24"/>
          <w:szCs w:val="24"/>
        </w:rPr>
        <w:t>й-</w:t>
      </w:r>
      <w:proofErr w:type="gramEnd"/>
      <w:r w:rsidR="002927C2" w:rsidRPr="00927A4E">
        <w:rPr>
          <w:sz w:val="24"/>
          <w:szCs w:val="24"/>
        </w:rPr>
        <w:t>(гор-)топами и организациями</w:t>
      </w:r>
      <w:r w:rsidRPr="00927A4E">
        <w:rPr>
          <w:sz w:val="24"/>
          <w:szCs w:val="24"/>
        </w:rPr>
        <w:t>, предложени</w:t>
      </w:r>
      <w:r w:rsidR="002927C2" w:rsidRPr="00927A4E">
        <w:rPr>
          <w:sz w:val="24"/>
          <w:szCs w:val="24"/>
        </w:rPr>
        <w:t>я</w:t>
      </w:r>
      <w:r w:rsidRPr="00927A4E">
        <w:rPr>
          <w:sz w:val="24"/>
          <w:szCs w:val="24"/>
        </w:rPr>
        <w:t xml:space="preserve"> котор</w:t>
      </w:r>
      <w:r w:rsidR="002927C2" w:rsidRPr="00927A4E">
        <w:rPr>
          <w:sz w:val="24"/>
          <w:szCs w:val="24"/>
        </w:rPr>
        <w:t>ых</w:t>
      </w:r>
      <w:r w:rsidRPr="00927A4E">
        <w:rPr>
          <w:sz w:val="24"/>
          <w:szCs w:val="24"/>
        </w:rPr>
        <w:t xml:space="preserve"> име</w:t>
      </w:r>
      <w:r w:rsidR="002927C2" w:rsidRPr="00927A4E">
        <w:rPr>
          <w:sz w:val="24"/>
          <w:szCs w:val="24"/>
        </w:rPr>
        <w:t>ю</w:t>
      </w:r>
      <w:r w:rsidRPr="00927A4E">
        <w:rPr>
          <w:sz w:val="24"/>
          <w:szCs w:val="24"/>
        </w:rPr>
        <w:t>т наиболее выгодные условия для Покупателя.</w:t>
      </w:r>
    </w:p>
    <w:p w:rsidR="00C831A4" w:rsidRPr="00927A4E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927A4E">
        <w:rPr>
          <w:sz w:val="24"/>
          <w:szCs w:val="24"/>
        </w:rPr>
        <w:lastRenderedPageBreak/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927A4E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927A4E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927A4E">
        <w:rPr>
          <w:rStyle w:val="4"/>
          <w:rFonts w:eastAsia="Arial Unicode MS"/>
        </w:rPr>
        <w:tab/>
        <w:t xml:space="preserve"> </w:t>
      </w:r>
      <w:r w:rsidRPr="00927A4E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927A4E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927A4E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927A4E">
        <w:rPr>
          <w:sz w:val="24"/>
          <w:szCs w:val="24"/>
        </w:rPr>
        <w:softHyphen/>
        <w:t>заться от проведения запроса ценовых (коммерческих)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927A4E" w:rsidRDefault="003D1196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>
      <w:pPr>
        <w:rPr>
          <w:rFonts w:ascii="Times New Roman" w:hAnsi="Times New Roman" w:cs="Times New Roman"/>
        </w:rPr>
      </w:pPr>
    </w:p>
    <w:p w:rsidR="00AC76EB" w:rsidRPr="00927A4E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927A4E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927A4E" w:rsidRPr="00B6723E" w:rsidRDefault="00927A4E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27A4E" w:rsidRPr="00B6723E" w:rsidRDefault="00927A4E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27A4E" w:rsidRPr="00B6723E" w:rsidRDefault="00927A4E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27A4E" w:rsidRPr="00B6723E" w:rsidRDefault="00927A4E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27A4E" w:rsidRPr="00B6723E" w:rsidRDefault="00927A4E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27A4E" w:rsidRPr="00B6723E" w:rsidRDefault="00927A4E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27A4E" w:rsidRPr="00B6723E" w:rsidRDefault="00927A4E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927A4E" w:rsidRPr="00B6723E" w:rsidRDefault="00927A4E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AC76EB" w:rsidRPr="00927A4E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927A4E">
        <w:rPr>
          <w:rStyle w:val="40"/>
          <w:rFonts w:eastAsia="Arial Unicode MS"/>
          <w:sz w:val="22"/>
          <w:szCs w:val="22"/>
        </w:rPr>
        <w:lastRenderedPageBreak/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927A4E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927A4E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927A4E">
              <w:rPr>
                <w:rFonts w:ascii="Times New Roman" w:hAnsi="Times New Roman" w:cs="Times New Roman"/>
              </w:rPr>
              <w:t xml:space="preserve"> </w:t>
            </w:r>
            <w:r w:rsidRPr="00927A4E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927A4E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7A4E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927A4E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927A4E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927A4E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927A4E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927A4E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927A4E"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927A4E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927A4E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927A4E" w:rsidRDefault="00AC76EB" w:rsidP="00AC76EB">
      <w:pPr>
        <w:rPr>
          <w:rFonts w:ascii="Times New Roman" w:hAnsi="Times New Roman" w:cs="Times New Roman"/>
        </w:rPr>
      </w:pPr>
    </w:p>
    <w:p w:rsidR="00AC76EB" w:rsidRPr="00927A4E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927A4E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927A4E" w:rsidRDefault="00AC76EB">
      <w:pPr>
        <w:rPr>
          <w:rFonts w:ascii="Times New Roman" w:hAnsi="Times New Roman" w:cs="Times New Roman"/>
        </w:rPr>
      </w:pPr>
    </w:p>
    <w:sectPr w:rsidR="00AC76EB" w:rsidRPr="00927A4E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D1" w:rsidRDefault="008141D1" w:rsidP="00534585">
      <w:r>
        <w:separator/>
      </w:r>
    </w:p>
  </w:endnote>
  <w:endnote w:type="continuationSeparator" w:id="1">
    <w:p w:rsidR="008141D1" w:rsidRDefault="008141D1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A" w:rsidRDefault="002A7FCA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D1" w:rsidRDefault="008141D1" w:rsidP="00534585">
      <w:r>
        <w:separator/>
      </w:r>
    </w:p>
  </w:footnote>
  <w:footnote w:type="continuationSeparator" w:id="1">
    <w:p w:rsidR="008141D1" w:rsidRDefault="008141D1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2927C2"/>
    <w:rsid w:val="002A7FCA"/>
    <w:rsid w:val="00366377"/>
    <w:rsid w:val="003833D3"/>
    <w:rsid w:val="003D1196"/>
    <w:rsid w:val="004852B8"/>
    <w:rsid w:val="004A0443"/>
    <w:rsid w:val="00534585"/>
    <w:rsid w:val="006638B2"/>
    <w:rsid w:val="007114A4"/>
    <w:rsid w:val="008141D1"/>
    <w:rsid w:val="00842C82"/>
    <w:rsid w:val="00926907"/>
    <w:rsid w:val="00927A4E"/>
    <w:rsid w:val="00937226"/>
    <w:rsid w:val="00A46E28"/>
    <w:rsid w:val="00AC76EB"/>
    <w:rsid w:val="00B12182"/>
    <w:rsid w:val="00B6723E"/>
    <w:rsid w:val="00C23265"/>
    <w:rsid w:val="00C831A4"/>
    <w:rsid w:val="00D82DCB"/>
    <w:rsid w:val="00DE57CC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a">
    <w:name w:val="Body Text"/>
    <w:basedOn w:val="a"/>
    <w:link w:val="ab"/>
    <w:rsid w:val="00927A4E"/>
    <w:pPr>
      <w:suppressAutoHyphens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927A4E"/>
    <w:rPr>
      <w:sz w:val="22"/>
      <w:szCs w:val="22"/>
      <w:lang w:eastAsia="ar-SA"/>
    </w:rPr>
  </w:style>
  <w:style w:type="paragraph" w:customStyle="1" w:styleId="12">
    <w:name w:val="Обычный (веб)1"/>
    <w:basedOn w:val="a"/>
    <w:rsid w:val="00927A4E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7105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3</cp:revision>
  <cp:lastPrinted>2013-06-13T05:01:00Z</cp:lastPrinted>
  <dcterms:created xsi:type="dcterms:W3CDTF">2016-08-17T09:36:00Z</dcterms:created>
  <dcterms:modified xsi:type="dcterms:W3CDTF">2016-08-17T09:37:00Z</dcterms:modified>
</cp:coreProperties>
</file>